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3.0 -->
  <w:body>
    <w:p w:rsidR="008D4135" w:rsidRPr="00585D76" w:rsidP="00142D21" w14:paraId="7FF8D7B9" w14:textId="77777777">
      <w:pPr>
        <w:spacing w:before="0" w:after="0"/>
        <w:ind w:left="-142" w:right="-612"/>
        <w:rPr>
          <w:rFonts w:ascii="Poppins" w:hAnsi="Poppins" w:cs="Poppins"/>
          <w:b/>
          <w:bCs/>
          <w:sz w:val="14"/>
          <w:szCs w:val="14"/>
        </w:rPr>
      </w:pPr>
    </w:p>
    <w:p w:rsidR="008D4135" w:rsidRPr="009D0B43" w:rsidP="00142D21" w14:paraId="0878E2F3" w14:textId="77777777">
      <w:pPr>
        <w:spacing w:before="0" w:after="0"/>
        <w:ind w:left="-142" w:right="-612"/>
        <w:rPr>
          <w:rFonts w:ascii="Poppins" w:hAnsi="Poppins" w:cs="Poppins"/>
          <w:b/>
          <w:bCs/>
          <w:sz w:val="24"/>
          <w:szCs w:val="24"/>
        </w:rPr>
      </w:pPr>
      <w:r>
        <w:rPr>
          <w:rFonts w:ascii="Poppins" w:hAnsi="Poppins" w:cs="Poppins"/>
          <w:b/>
          <w:bCs/>
          <w:sz w:val="32"/>
          <w:szCs w:val="32"/>
        </w:rPr>
        <w:t xml:space="preserve">Backing </w:t>
      </w:r>
      <w:r w:rsidRPr="005574E5">
        <w:rPr>
          <w:rFonts w:ascii="Poppins" w:hAnsi="Poppins" w:cs="Poppins"/>
          <w:b/>
          <w:bCs/>
          <w:noProof/>
          <w:sz w:val="32"/>
          <w:szCs w:val="32"/>
        </w:rPr>
        <w:t>Spence</w:t>
      </w:r>
      <w:r>
        <w:rPr>
          <w:rFonts w:ascii="Poppins" w:hAnsi="Poppins" w:cs="Poppins"/>
          <w:b/>
          <w:bCs/>
          <w:sz w:val="32"/>
          <w:szCs w:val="32"/>
        </w:rPr>
        <w:t>’s Travel Locals: Fair Payments For All</w:t>
      </w:r>
      <w:r w:rsidRPr="0097405B">
        <w:rPr>
          <w:rFonts w:ascii="Poppins" w:hAnsi="Poppins" w:cs="Poppins"/>
          <w:b/>
          <w:bCs/>
          <w:sz w:val="32"/>
          <w:szCs w:val="32"/>
        </w:rPr>
        <w:t xml:space="preserve"> </w:t>
      </w:r>
    </w:p>
    <w:p w:rsidR="008D4135" w:rsidP="00991BC2" w14:paraId="20A738CE" w14:textId="77777777">
      <w:pPr>
        <w:ind w:right="95"/>
        <w:rPr>
          <w:rFonts w:ascii="Poppins" w:hAnsi="Poppins" w:cs="Poppins"/>
          <w:b/>
          <w:bCs/>
          <w:sz w:val="32"/>
          <w:szCs w:val="32"/>
        </w:rPr>
      </w:pPr>
      <w:r w:rsidRPr="00194511">
        <w:rPr>
          <w:rFonts w:ascii="Calibri" w:eastAsia="Calibri" w:hAnsi="Calibri" w:cs="Times New Roman"/>
          <w:noProof/>
        </w:rPr>
        <mc:AlternateContent>
          <mc:Choice Requires="wps">
            <w:drawing>
              <wp:anchor distT="0" distB="0" distL="114300" distR="114300" simplePos="0" relativeHeight="251659264" behindDoc="1" locked="0" layoutInCell="1" allowOverlap="1">
                <wp:simplePos x="0" y="0"/>
                <wp:positionH relativeFrom="page">
                  <wp:posOffset>-19050</wp:posOffset>
                </wp:positionH>
                <wp:positionV relativeFrom="paragraph">
                  <wp:posOffset>131445</wp:posOffset>
                </wp:positionV>
                <wp:extent cx="7572375" cy="1238250"/>
                <wp:effectExtent l="0" t="0" r="9525" b="0"/>
                <wp:wrapNone/>
                <wp:docPr id="1440114392" name="Rectangle 1440114392"/>
                <wp:cNvGraphicFramePr/>
                <a:graphic xmlns:a="http://schemas.openxmlformats.org/drawingml/2006/main">
                  <a:graphicData uri="http://schemas.microsoft.com/office/word/2010/wordprocessingShape">
                    <wps:wsp xmlns:wps="http://schemas.microsoft.com/office/word/2010/wordprocessingShape">
                      <wps:cNvSpPr/>
                      <wps:spPr>
                        <a:xfrm>
                          <a:off x="0" y="0"/>
                          <a:ext cx="7572375" cy="1238250"/>
                        </a:xfrm>
                        <a:prstGeom prst="rect">
                          <a:avLst/>
                        </a:prstGeom>
                        <a:solidFill>
                          <a:schemeClr val="tx1"/>
                        </a:solidFill>
                        <a:ln w="6350">
                          <a:noFill/>
                          <a:prstDash val="solid"/>
                          <a:miter lim="800000"/>
                        </a:ln>
                        <a:effectLst/>
                      </wps:spPr>
                      <wps:txbx>
                        <w:txbxContent>
                          <w:p w:rsidR="008D4135" w:rsidRPr="00AF54A1" w:rsidP="006426D3"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Spence</w:t>
                            </w:r>
                            <w:r w:rsidRPr="00B86E8E">
                              <w:rPr>
                                <w:b/>
                                <w:bCs/>
                                <w:color w:val="FFFFFF" w:themeColor="background1"/>
                                <w:sz w:val="22"/>
                              </w:rPr>
                              <w:t xml:space="preserve"> supporting </w:t>
                            </w:r>
                            <w:r w:rsidRPr="005574E5">
                              <w:rPr>
                                <w:b/>
                                <w:bCs/>
                                <w:noProof/>
                                <w:color w:val="FFFFFF" w:themeColor="background1"/>
                                <w:sz w:val="22"/>
                              </w:rPr>
                              <w:t>7</w:t>
                            </w:r>
                            <w:r w:rsidRPr="00B86E8E">
                              <w:rPr>
                                <w:b/>
                                <w:bCs/>
                                <w:color w:val="FFFFFF" w:themeColor="background1"/>
                                <w:sz w:val="22"/>
                              </w:rPr>
                              <w:t xml:space="preserve"> staff</w:t>
                            </w:r>
                            <w:r>
                              <w:rPr>
                                <w:b/>
                                <w:bCs/>
                                <w:color w:val="FFFFFF" w:themeColor="background1"/>
                                <w:sz w:val="22"/>
                              </w:rPr>
                              <w:t>.</w:t>
                            </w:r>
                          </w:p>
                          <w:p w:rsidR="008D4135" w:rsidRPr="007666D8"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wps:txbx>
                      <wps:bodyPr rot="0" spcFirstLastPara="0" vertOverflow="clip" horzOverflow="clip" vert="horz" wrap="square" lIns="91440" tIns="0" rIns="91440" bIns="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440114392" o:spid="_x0000_s1025" type="#_x0000_t202" style="width:596.25pt;height:97.5pt;margin-top:10.35pt;margin-left:-1.5pt;mso-height-percent:0;mso-height-relative:margin;mso-position-horizontal-relative:page;mso-width-percent:0;mso-width-relative:margin;mso-wrap-distance-bottom:0;mso-wrap-distance-left:9pt;mso-wrap-distance-right:9pt;mso-wrap-distance-top:0;position:absolute;v-text-anchor:top;z-index:-251658240" fillcolor="black" stroked="f" strokeweight="0.5pt">
                <v:textbox inset=",0,,0">
                  <w:txbxContent>
                    <w:p w:rsidR="008D4135" w:rsidRPr="00AF54A1" w:rsidP="006426D3" w14:paraId="52F7AD9C" w14:textId="77777777">
                      <w:pPr>
                        <w:shd w:val="clear" w:color="auto" w:fill="000000" w:themeFill="text1"/>
                        <w:ind w:left="1276" w:right="996"/>
                        <w:rPr>
                          <w:color w:val="FFFFFF" w:themeColor="background1"/>
                          <w:sz w:val="22"/>
                        </w:rPr>
                      </w:pPr>
                      <w:r>
                        <w:rPr>
                          <w:b/>
                          <w:bCs/>
                          <w:color w:val="FFFFFF" w:themeColor="background1"/>
                          <w:sz w:val="22"/>
                        </w:rPr>
                        <w:t xml:space="preserve">This has a direct, positive impact on: </w:t>
                      </w:r>
                    </w:p>
                    <w:p w:rsidR="008D4135" w:rsidP="00585D76" w14:paraId="02CC2473"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574E5">
                        <w:rPr>
                          <w:b/>
                          <w:bCs/>
                          <w:noProof/>
                          <w:color w:val="FFFFFF" w:themeColor="background1"/>
                          <w:sz w:val="22"/>
                        </w:rPr>
                        <w:t>7</w:t>
                      </w:r>
                      <w:r>
                        <w:rPr>
                          <w:b/>
                          <w:bCs/>
                          <w:color w:val="FFFFFF" w:themeColor="background1"/>
                          <w:sz w:val="22"/>
                        </w:rPr>
                        <w:t xml:space="preserve"> </w:t>
                      </w:r>
                      <w:r w:rsidRPr="006426D3">
                        <w:rPr>
                          <w:b/>
                          <w:bCs/>
                          <w:color w:val="FFFFFF" w:themeColor="background1"/>
                          <w:sz w:val="22"/>
                        </w:rPr>
                        <w:t xml:space="preserve">of accredited travel </w:t>
                      </w:r>
                      <w:r w:rsidRPr="00B86E8E">
                        <w:rPr>
                          <w:b/>
                          <w:bCs/>
                          <w:color w:val="FFFFFF" w:themeColor="background1"/>
                          <w:sz w:val="22"/>
                        </w:rPr>
                        <w:t xml:space="preserve">businesses in </w:t>
                      </w:r>
                      <w:r w:rsidRPr="005574E5">
                        <w:rPr>
                          <w:b/>
                          <w:bCs/>
                          <w:noProof/>
                          <w:color w:val="FFFFFF" w:themeColor="background1"/>
                          <w:sz w:val="22"/>
                        </w:rPr>
                        <w:t>Spence</w:t>
                      </w:r>
                      <w:r w:rsidRPr="00B86E8E">
                        <w:rPr>
                          <w:b/>
                          <w:bCs/>
                          <w:color w:val="FFFFFF" w:themeColor="background1"/>
                          <w:sz w:val="22"/>
                        </w:rPr>
                        <w:t xml:space="preserve"> supporting </w:t>
                      </w:r>
                      <w:r w:rsidRPr="005574E5">
                        <w:rPr>
                          <w:b/>
                          <w:bCs/>
                          <w:noProof/>
                          <w:color w:val="FFFFFF" w:themeColor="background1"/>
                          <w:sz w:val="22"/>
                        </w:rPr>
                        <w:t>7</w:t>
                      </w:r>
                      <w:r w:rsidRPr="00B86E8E">
                        <w:rPr>
                          <w:b/>
                          <w:bCs/>
                          <w:color w:val="FFFFFF" w:themeColor="background1"/>
                          <w:sz w:val="22"/>
                        </w:rPr>
                        <w:t xml:space="preserve"> staff</w:t>
                      </w:r>
                      <w:r>
                        <w:rPr>
                          <w:b/>
                          <w:bCs/>
                          <w:color w:val="FFFFFF" w:themeColor="background1"/>
                          <w:sz w:val="22"/>
                        </w:rPr>
                        <w:t>.</w:t>
                      </w:r>
                    </w:p>
                    <w:p w:rsidR="008D4135" w:rsidRPr="007666D8" w:rsidP="00585D76" w14:paraId="6C9EFD08"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Pr>
                          <w:b/>
                          <w:bCs/>
                          <w:color w:val="FFFFFF" w:themeColor="background1"/>
                          <w:sz w:val="22"/>
                        </w:rPr>
                        <w:t>1,666</w:t>
                      </w:r>
                      <w:r w:rsidRPr="006426D3">
                        <w:rPr>
                          <w:b/>
                          <w:bCs/>
                          <w:color w:val="FFFFFF" w:themeColor="background1"/>
                          <w:sz w:val="22"/>
                        </w:rPr>
                        <w:t xml:space="preserve"> of accredited travel businesses with </w:t>
                      </w:r>
                      <w:r>
                        <w:rPr>
                          <w:b/>
                          <w:bCs/>
                          <w:color w:val="FFFFFF" w:themeColor="background1"/>
                          <w:sz w:val="22"/>
                        </w:rPr>
                        <w:t>19,518</w:t>
                      </w:r>
                      <w:r w:rsidRPr="006426D3">
                        <w:rPr>
                          <w:b/>
                          <w:bCs/>
                          <w:color w:val="FFFFFF" w:themeColor="background1"/>
                          <w:sz w:val="22"/>
                        </w:rPr>
                        <w:t xml:space="preserve"> staff across Australia</w:t>
                      </w:r>
                      <w:r>
                        <w:rPr>
                          <w:b/>
                          <w:bCs/>
                          <w:color w:val="FFFFFF" w:themeColor="background1"/>
                          <w:sz w:val="22"/>
                        </w:rPr>
                        <w:t>.</w:t>
                      </w:r>
                    </w:p>
                    <w:p w:rsidR="008D4135" w:rsidRPr="00585D76" w:rsidP="00585D76" w14:paraId="2A5E1106" w14:textId="77777777">
                      <w:pPr>
                        <w:pStyle w:val="ListParagraph"/>
                        <w:numPr>
                          <w:ilvl w:val="0"/>
                          <w:numId w:val="2"/>
                        </w:numPr>
                        <w:shd w:val="clear" w:color="auto" w:fill="000000" w:themeFill="text1"/>
                        <w:spacing w:after="120"/>
                        <w:ind w:left="1633" w:right="1423" w:hanging="357"/>
                        <w:contextualSpacing w:val="0"/>
                        <w:rPr>
                          <w:b/>
                          <w:bCs/>
                          <w:color w:val="FFFFFF" w:themeColor="background1"/>
                          <w:sz w:val="22"/>
                        </w:rPr>
                      </w:pPr>
                      <w:r w:rsidRPr="00585D76">
                        <w:rPr>
                          <w:b/>
                          <w:bCs/>
                          <w:color w:val="FFFFFF" w:themeColor="background1"/>
                          <w:sz w:val="22"/>
                        </w:rPr>
                        <w:t xml:space="preserve">With 72% of the travel workforce consisting of females, this will have a significant impact on the females in your electorate. </w:t>
                      </w:r>
                    </w:p>
                  </w:txbxContent>
                </v:textbox>
              </v:shape>
            </w:pict>
          </mc:Fallback>
        </mc:AlternateContent>
      </w:r>
    </w:p>
    <w:p w:rsidR="008D4135" w:rsidP="00991BC2" w14:paraId="4A3AF6F9" w14:textId="77777777">
      <w:pPr>
        <w:ind w:left="-142" w:right="95"/>
        <w:rPr>
          <w:rFonts w:ascii="Poppins" w:hAnsi="Poppins" w:cs="Poppins"/>
          <w:b/>
          <w:bCs/>
          <w:sz w:val="32"/>
          <w:szCs w:val="32"/>
        </w:rPr>
      </w:pPr>
    </w:p>
    <w:p w:rsidR="008D4135" w:rsidRPr="0097405B" w:rsidP="00991BC2" w14:paraId="53219AE1" w14:textId="77777777">
      <w:pPr>
        <w:ind w:left="-142" w:right="95"/>
        <w:rPr>
          <w:rFonts w:ascii="Poppins" w:hAnsi="Poppins" w:cs="Poppins"/>
          <w:b/>
          <w:bCs/>
          <w:sz w:val="32"/>
          <w:szCs w:val="32"/>
        </w:rPr>
      </w:pPr>
    </w:p>
    <w:tbl>
      <w:tblPr>
        <w:tblStyle w:val="TableGrid"/>
        <w:tblpPr w:leftFromText="180" w:rightFromText="180" w:vertAnchor="text" w:horzAnchor="margin" w:tblpY="328"/>
        <w:tblW w:w="10692" w:type="dxa"/>
        <w:tblInd w:w="0" w:type="dxa"/>
        <w:tblLook w:val="04A0"/>
      </w:tblPr>
      <w:tblGrid>
        <w:gridCol w:w="10692"/>
      </w:tblGrid>
      <w:tr w14:paraId="246D3DFA" w14:textId="77777777" w:rsidTr="00141D29">
        <w:tblPrEx>
          <w:tblW w:w="10692" w:type="dxa"/>
          <w:tblInd w:w="0" w:type="dxa"/>
          <w:tblLook w:val="04A0"/>
        </w:tblPrEx>
        <w:trPr>
          <w:trHeight w:val="2838"/>
        </w:trPr>
        <w:tc>
          <w:tcPr>
            <w:tcW w:w="10692" w:type="dxa"/>
            <w:tcBorders>
              <w:top w:val="nil"/>
              <w:left w:val="nil"/>
              <w:bottom w:val="nil"/>
              <w:right w:val="nil"/>
            </w:tcBorders>
            <w:shd w:val="clear" w:color="auto" w:fill="DDF3F4"/>
          </w:tcPr>
          <w:p w:rsidR="008D4135" w:rsidRPr="00764E72" w:rsidP="00141D29" w14:paraId="4B3F7D35" w14:textId="77777777">
            <w:pPr>
              <w:spacing w:before="160" w:after="160"/>
              <w:rPr>
                <w:rFonts w:eastAsia="Cambria" w:cs="Calibri"/>
                <w:b/>
                <w:bCs/>
                <w:sz w:val="27"/>
                <w:szCs w:val="27"/>
                <w:lang w:val="en-AU"/>
              </w:rPr>
            </w:pPr>
            <w:r w:rsidRPr="00764E72">
              <w:rPr>
                <w:rFonts w:eastAsia="Cambria" w:cs="Calibri"/>
                <w:b/>
                <w:bCs/>
                <w:sz w:val="27"/>
                <w:szCs w:val="27"/>
                <w:lang w:val="en-AU"/>
              </w:rPr>
              <w:t xml:space="preserve">The Challenge: </w:t>
            </w:r>
            <w:r>
              <w:rPr>
                <w:rFonts w:eastAsia="Cambria" w:cs="Calibri"/>
                <w:b/>
                <w:bCs/>
                <w:sz w:val="27"/>
                <w:szCs w:val="27"/>
                <w:lang w:val="en-AU"/>
              </w:rPr>
              <w:t>Unfair Payment Rules Will Threaten Travel Sector</w:t>
            </w:r>
          </w:p>
          <w:p w:rsidR="008D4135" w:rsidRPr="007D6D44" w:rsidP="00141D29" w14:paraId="5DB3416E" w14:textId="77777777">
            <w:pPr>
              <w:spacing w:before="160" w:after="160"/>
              <w:rPr>
                <w:szCs w:val="20"/>
              </w:rPr>
            </w:pPr>
            <w:r w:rsidRPr="007D6D44">
              <w:rPr>
                <w:szCs w:val="20"/>
              </w:rPr>
              <w:t xml:space="preserve">Travel businesses are at risk from a payments system stacked against them. Removing their ability to recover the cost of accepting debit and credit card payments through surcharging will mean businesses will be asked to cover costs incurred through a consumer’s choice to use a particular payment method. </w:t>
            </w:r>
          </w:p>
          <w:p w:rsidR="008D4135" w:rsidRPr="007D6D44" w:rsidP="00141D29" w14:paraId="40E1F75F" w14:textId="77777777">
            <w:pPr>
              <w:spacing w:before="160" w:after="160"/>
              <w:rPr>
                <w:szCs w:val="20"/>
              </w:rPr>
            </w:pPr>
            <w:r w:rsidRPr="007D6D44">
              <w:rPr>
                <w:szCs w:val="20"/>
              </w:rPr>
              <w:t xml:space="preserve">It will </w:t>
            </w:r>
            <w:r w:rsidRPr="007D6D44">
              <w:rPr>
                <w:b/>
                <w:bCs/>
                <w:szCs w:val="20"/>
              </w:rPr>
              <w:t xml:space="preserve">drastically impact small businesses, </w:t>
            </w:r>
            <w:r w:rsidRPr="007D6D44">
              <w:rPr>
                <w:szCs w:val="20"/>
              </w:rPr>
              <w:t>which generally operate on low margins and who make up 92% of ATIA’s members.</w:t>
            </w:r>
          </w:p>
          <w:p w:rsidR="008D4135" w:rsidRPr="007D6D44" w:rsidP="00141D29" w14:paraId="37DBCC42" w14:textId="77777777">
            <w:pPr>
              <w:spacing w:before="160" w:after="160"/>
              <w:rPr>
                <w:szCs w:val="20"/>
              </w:rPr>
            </w:pPr>
            <w:r w:rsidRPr="007D6D44">
              <w:rPr>
                <w:szCs w:val="20"/>
              </w:rPr>
              <w:t xml:space="preserve">It will also </w:t>
            </w:r>
            <w:r w:rsidRPr="007D6D44">
              <w:rPr>
                <w:b/>
                <w:bCs/>
                <w:szCs w:val="20"/>
              </w:rPr>
              <w:t>disproportionately harm the travel industry</w:t>
            </w:r>
            <w:r w:rsidRPr="007D6D44">
              <w:rPr>
                <w:szCs w:val="20"/>
              </w:rPr>
              <w:t xml:space="preserve">, which is subject to unique chargeback exposure resulting in the requirement to pay </w:t>
            </w:r>
            <w:r w:rsidRPr="007D6D44">
              <w:rPr>
                <w:b/>
                <w:bCs/>
                <w:szCs w:val="20"/>
              </w:rPr>
              <w:t>bonds of greater than $1 million</w:t>
            </w:r>
            <w:r w:rsidRPr="007D6D44">
              <w:rPr>
                <w:szCs w:val="20"/>
              </w:rPr>
              <w:t xml:space="preserve"> to maintain their merchant terminal. </w:t>
            </w:r>
          </w:p>
          <w:p w:rsidR="008D4135" w:rsidRPr="00311FB8" w:rsidP="00141D29" w14:paraId="0637C42A" w14:textId="77777777">
            <w:pPr>
              <w:spacing w:before="160" w:after="160"/>
              <w:rPr>
                <w:sz w:val="22"/>
              </w:rPr>
            </w:pPr>
            <w:r w:rsidRPr="007D6D44">
              <w:rPr>
                <w:szCs w:val="20"/>
              </w:rPr>
              <w:t xml:space="preserve">Without the ability to recover the true costs of card payments, these businesses face cuts, closures, or passing costs to customers – resulting in rising prices and reduced options. </w:t>
            </w:r>
          </w:p>
        </w:tc>
      </w:tr>
    </w:tbl>
    <w:p w:rsidR="008D4135" w:rsidRPr="00585D76" w:rsidP="00991BC2" w14:paraId="0DEF5493" w14:textId="77777777">
      <w:pPr>
        <w:rPr>
          <w:sz w:val="2"/>
          <w:szCs w:val="4"/>
        </w:rPr>
      </w:pPr>
    </w:p>
    <w:p w:rsidR="008D4135" w:rsidP="00733470" w14:paraId="318C3A15" w14:textId="77777777">
      <w:pPr>
        <w:keepNext/>
        <w:keepLines/>
        <w:spacing w:before="0" w:after="0"/>
        <w:outlineLvl w:val="1"/>
        <w:rPr>
          <w:rFonts w:ascii="Roboto Medium" w:eastAsia="MS Gothic" w:hAnsi="Roboto Medium" w:cs="Times New Roman"/>
          <w:color w:val="00AAAC"/>
          <w:sz w:val="28"/>
          <w:szCs w:val="28"/>
          <w:lang w:val="en-GB"/>
        </w:rPr>
      </w:pPr>
    </w:p>
    <w:p w:rsidR="008D4135" w:rsidRPr="00585D76" w:rsidP="00733470" w14:paraId="6B9D17AF" w14:textId="77777777">
      <w:pPr>
        <w:keepNext/>
        <w:keepLines/>
        <w:spacing w:before="0" w:after="0"/>
        <w:outlineLvl w:val="1"/>
        <w:rPr>
          <w:rFonts w:ascii="Roboto Medium" w:eastAsia="MS Gothic" w:hAnsi="Roboto Medium" w:cs="Times New Roman"/>
          <w:color w:val="00AAAC"/>
          <w:sz w:val="14"/>
          <w:szCs w:val="14"/>
          <w:lang w:val="en-GB"/>
        </w:rPr>
        <w:sectPr w:rsidSect="008D4135">
          <w:headerReference w:type="default" r:id="rId10"/>
          <w:footerReference w:type="default" r:id="rId11"/>
          <w:pgSz w:w="11906" w:h="16838"/>
          <w:pgMar w:top="720" w:right="720" w:bottom="720" w:left="720" w:header="708" w:footer="113" w:gutter="0"/>
          <w:pgNumType w:start="1"/>
          <w:cols w:space="708"/>
          <w:docGrid w:linePitch="360"/>
        </w:sectPr>
      </w:pPr>
    </w:p>
    <w:p w:rsidR="008D4135" w:rsidRPr="007D6D44" w:rsidP="00733470" w14:paraId="04A28F89" w14:textId="77777777">
      <w:pPr>
        <w:keepNext/>
        <w:keepLines/>
        <w:outlineLvl w:val="1"/>
        <w:rPr>
          <w:rFonts w:ascii="Roboto Medium" w:eastAsia="MS Gothic" w:hAnsi="Roboto Medium" w:cs="Times New Roman"/>
          <w:color w:val="00AAAC"/>
          <w:sz w:val="24"/>
          <w:szCs w:val="24"/>
          <w:lang w:val="en-GB"/>
        </w:rPr>
      </w:pPr>
      <w:r w:rsidRPr="007D6D44">
        <w:rPr>
          <w:rFonts w:ascii="Roboto Medium" w:eastAsia="MS Gothic" w:hAnsi="Roboto Medium" w:cs="Times New Roman"/>
          <w:color w:val="00AAAC"/>
          <w:sz w:val="24"/>
          <w:szCs w:val="24"/>
          <w:lang w:val="en-GB"/>
        </w:rPr>
        <w:t>The Opportunity:  A Fair Deal for Travel Payments</w:t>
      </w:r>
    </w:p>
    <w:p w:rsidR="008D4135" w:rsidRPr="007D6D44" w:rsidP="00733470" w14:paraId="6B693117" w14:textId="77777777">
      <w:pPr>
        <w:spacing w:before="160" w:after="160"/>
        <w:rPr>
          <w:szCs w:val="20"/>
        </w:rPr>
      </w:pPr>
      <w:r w:rsidRPr="007D6D44">
        <w:rPr>
          <w:szCs w:val="20"/>
        </w:rPr>
        <w:t xml:space="preserve">To ensure a fair payments system, there is a critical need for businesses to retain the ability to surcharge to </w:t>
      </w:r>
      <w:r w:rsidRPr="007D6D44">
        <w:rPr>
          <w:b/>
          <w:bCs/>
          <w:szCs w:val="20"/>
        </w:rPr>
        <w:t>recover the true costs of facilitating electronic transactions</w:t>
      </w:r>
      <w:r w:rsidRPr="007D6D44">
        <w:rPr>
          <w:szCs w:val="20"/>
        </w:rPr>
        <w:t>.</w:t>
      </w:r>
    </w:p>
    <w:p w:rsidR="008D4135" w:rsidRPr="007D6D44" w:rsidP="00733470" w14:paraId="3D8D33A5" w14:textId="77777777">
      <w:pPr>
        <w:spacing w:before="160" w:after="160"/>
        <w:rPr>
          <w:szCs w:val="20"/>
        </w:rPr>
      </w:pPr>
      <w:r w:rsidRPr="007D6D44">
        <w:rPr>
          <w:szCs w:val="20"/>
        </w:rPr>
        <w:t>Regulatory frameworks should account for the travel industry’s unique chargeback exposure and forward delivery risks.</w:t>
      </w:r>
    </w:p>
    <w:p w:rsidR="008D4135" w:rsidRPr="007D6D44" w:rsidP="00733470" w14:paraId="6D03172E" w14:textId="77777777">
      <w:pPr>
        <w:spacing w:before="160" w:after="160"/>
        <w:rPr>
          <w:szCs w:val="20"/>
        </w:rPr>
      </w:pPr>
      <w:r w:rsidRPr="007D6D44">
        <w:rPr>
          <w:szCs w:val="20"/>
        </w:rPr>
        <w:t xml:space="preserve">Avenues to ensure Least-Cost-Routing can be fully utilised and enhancement of the ACCC’s enforcement powers should be first explored to protect against unreasonable surcharges, without penalising small business.   </w:t>
      </w:r>
    </w:p>
    <w:p w:rsidR="008D4135" w:rsidRPr="009956E9" w:rsidP="00585D76" w14:paraId="2A9D428A" w14:textId="77777777">
      <w:pPr>
        <w:keepNext/>
        <w:keepLines/>
        <w:spacing w:after="0"/>
        <w:outlineLvl w:val="1"/>
        <w:rPr>
          <w:rFonts w:ascii="Roboto Medium" w:eastAsia="MS Gothic" w:hAnsi="Roboto Medium" w:cs="Times New Roman"/>
          <w:color w:val="00AAAC"/>
          <w:sz w:val="27"/>
          <w:szCs w:val="27"/>
          <w:lang w:val="en-GB"/>
        </w:rPr>
      </w:pPr>
      <w:r w:rsidRPr="007D6D44">
        <w:rPr>
          <w:rFonts w:ascii="Roboto Medium" w:eastAsia="MS Gothic" w:hAnsi="Roboto Medium" w:cs="Times New Roman"/>
          <w:color w:val="00AAAC"/>
          <w:sz w:val="24"/>
          <w:szCs w:val="24"/>
          <w:lang w:val="en-GB"/>
        </w:rPr>
        <w:t>Here’s What Your Support Delivers</w:t>
      </w:r>
    </w:p>
    <w:p w:rsidR="008D4135" w:rsidRPr="007D6D44" w:rsidP="00585D76" w14:paraId="6E0E614D" w14:textId="77777777">
      <w:pPr>
        <w:spacing w:before="0" w:after="0"/>
        <w:rPr>
          <w:b/>
          <w:bCs/>
          <w:szCs w:val="20"/>
          <w:lang w:val="en-AU"/>
        </w:rPr>
      </w:pPr>
      <w:r w:rsidRPr="007D6D44">
        <w:rPr>
          <w:b/>
          <w:bCs/>
          <w:szCs w:val="20"/>
          <w:lang w:val="en-AU"/>
        </w:rPr>
        <w:t xml:space="preserve">Fairness for Small Business </w:t>
      </w:r>
    </w:p>
    <w:p w:rsidR="008D4135" w:rsidRPr="007D6D44" w:rsidP="00585D76" w14:paraId="38B7B784" w14:textId="77777777">
      <w:pPr>
        <w:pStyle w:val="ListParagraph"/>
        <w:numPr>
          <w:ilvl w:val="0"/>
          <w:numId w:val="15"/>
        </w:numPr>
        <w:spacing w:before="0" w:after="160"/>
        <w:ind w:left="357" w:hanging="357"/>
        <w:rPr>
          <w:szCs w:val="20"/>
          <w:lang w:val="en-AU"/>
        </w:rPr>
      </w:pPr>
      <w:r w:rsidRPr="007D6D44">
        <w:rPr>
          <w:szCs w:val="20"/>
          <w:lang w:val="en-AU"/>
        </w:rPr>
        <w:t xml:space="preserve">Enabling businesses to continue to recover the true cost of facilitating electronic transactions directly supports the 98% of businesses that are small and family-run. </w:t>
      </w:r>
    </w:p>
    <w:p w:rsidR="008D4135" w:rsidRPr="007D6D44" w:rsidP="00585D76" w14:paraId="7B081632" w14:textId="77777777">
      <w:pPr>
        <w:spacing w:before="160" w:after="0"/>
        <w:rPr>
          <w:b/>
          <w:bCs/>
          <w:szCs w:val="20"/>
          <w:lang w:val="en-AU"/>
        </w:rPr>
      </w:pPr>
      <w:r w:rsidRPr="007D6D44">
        <w:rPr>
          <w:b/>
          <w:bCs/>
          <w:szCs w:val="20"/>
          <w:lang w:val="en-AU"/>
        </w:rPr>
        <w:t>Support for Travel Businesses &amp; Customers</w:t>
      </w:r>
    </w:p>
    <w:p w:rsidR="008D4135" w:rsidRPr="007D6D44" w:rsidP="00585D76" w14:paraId="004874CE" w14:textId="77777777">
      <w:pPr>
        <w:pStyle w:val="ListParagraph"/>
        <w:numPr>
          <w:ilvl w:val="0"/>
          <w:numId w:val="15"/>
        </w:numPr>
        <w:spacing w:before="0" w:after="120"/>
        <w:ind w:left="357" w:hanging="357"/>
        <w:contextualSpacing w:val="0"/>
        <w:rPr>
          <w:b/>
          <w:bCs/>
          <w:szCs w:val="20"/>
          <w:lang w:val="en-AU"/>
        </w:rPr>
      </w:pPr>
      <w:r w:rsidRPr="007D6D44">
        <w:rPr>
          <w:szCs w:val="20"/>
          <w:lang w:val="en-AU"/>
        </w:rPr>
        <w:t xml:space="preserve">An approach that recognises the travel industry’s unique circumstances will support the </w:t>
      </w:r>
      <w:r w:rsidRPr="005574E5">
        <w:rPr>
          <w:noProof/>
          <w:szCs w:val="20"/>
          <w:lang w:val="en-AU"/>
        </w:rPr>
        <w:t>7</w:t>
      </w:r>
      <w:r>
        <w:rPr>
          <w:szCs w:val="20"/>
          <w:lang w:val="en-AU"/>
        </w:rPr>
        <w:t xml:space="preserve"> </w:t>
      </w:r>
      <w:r w:rsidRPr="007D6D44">
        <w:rPr>
          <w:szCs w:val="20"/>
          <w:lang w:val="en-AU"/>
        </w:rPr>
        <w:t>travel businesses i</w:t>
      </w:r>
      <w:r w:rsidRPr="00141D29">
        <w:rPr>
          <w:szCs w:val="20"/>
          <w:lang w:val="en-AU"/>
        </w:rPr>
        <w:t xml:space="preserve">n </w:t>
      </w:r>
      <w:r w:rsidRPr="005574E5">
        <w:rPr>
          <w:noProof/>
          <w:szCs w:val="20"/>
          <w:lang w:val="en-AU"/>
        </w:rPr>
        <w:t>Spence</w:t>
      </w:r>
      <w:r w:rsidRPr="00141D29">
        <w:rPr>
          <w:szCs w:val="20"/>
          <w:lang w:val="en-AU"/>
        </w:rPr>
        <w:t xml:space="preserve"> to</w:t>
      </w:r>
      <w:r w:rsidRPr="007D6D44">
        <w:rPr>
          <w:szCs w:val="20"/>
          <w:lang w:val="en-AU"/>
        </w:rPr>
        <w:t xml:space="preserve"> remain open. </w:t>
      </w:r>
    </w:p>
    <w:p w:rsidR="008D4135" w:rsidRPr="00141D29" w:rsidP="00733470" w14:paraId="76B5A107" w14:textId="77777777">
      <w:pPr>
        <w:pStyle w:val="ListParagraph"/>
        <w:keepNext/>
        <w:keepLines/>
        <w:numPr>
          <w:ilvl w:val="0"/>
          <w:numId w:val="15"/>
        </w:numPr>
        <w:spacing w:before="0" w:after="120"/>
        <w:ind w:left="357" w:right="578" w:hanging="357"/>
        <w:contextualSpacing w:val="0"/>
        <w:outlineLvl w:val="1"/>
      </w:pPr>
      <w:r w:rsidRPr="00585D76">
        <w:rPr>
          <w:szCs w:val="20"/>
          <w:lang w:val="en-AU"/>
        </w:rPr>
        <w:t>It will also reduce the risk of the merchant terminal being removed from businesses – impacting their livelihood and</w:t>
      </w:r>
      <w:r>
        <w:rPr>
          <w:szCs w:val="20"/>
          <w:lang w:val="en-AU"/>
        </w:rPr>
        <w:t xml:space="preserve"> their</w:t>
      </w:r>
      <w:r w:rsidRPr="00585D76">
        <w:rPr>
          <w:szCs w:val="20"/>
          <w:lang w:val="en-AU"/>
        </w:rPr>
        <w:t xml:space="preserve"> customers who utilise travel agents or tour operators in managing their trave</w:t>
      </w:r>
      <w:r>
        <w:rPr>
          <w:szCs w:val="20"/>
          <w:lang w:val="en-AU"/>
        </w:rPr>
        <w:t>l.</w:t>
      </w:r>
    </w:p>
    <w:p w:rsidR="008D4135" w:rsidP="00141D29" w14:paraId="30EF9177" w14:textId="77777777">
      <w:pPr>
        <w:keepNext/>
        <w:keepLines/>
        <w:spacing w:before="0"/>
        <w:ind w:right="578"/>
        <w:outlineLvl w:val="1"/>
        <w:sectPr w:rsidSect="008D4135">
          <w:type w:val="continuous"/>
          <w:pgSz w:w="11906" w:h="16838"/>
          <w:pgMar w:top="720" w:right="720" w:bottom="720" w:left="720" w:header="708" w:footer="313" w:gutter="0"/>
          <w:cols w:num="2" w:space="708"/>
          <w:docGrid w:linePitch="360"/>
        </w:sectPr>
      </w:pPr>
    </w:p>
    <w:p w:rsidR="008D4135" w:rsidP="005E1269" w14:paraId="71AC571F" w14:textId="77777777">
      <w:pPr>
        <w:spacing w:before="0" w:after="160" w:line="259" w:lineRule="auto"/>
      </w:pPr>
      <w:r w:rsidRPr="00F10678">
        <w:rPr>
          <w:rFonts w:eastAsia="Cambria" w:cs="Calibri"/>
          <w:noProof/>
          <w:lang w:val="en-AU"/>
        </w:rPr>
        <mc:AlternateContent>
          <mc:Choice Requires="wps">
            <w:drawing>
              <wp:anchor distT="0" distB="0" distL="114300" distR="114300" simplePos="0" relativeHeight="251660288" behindDoc="1" locked="0" layoutInCell="1" allowOverlap="1">
                <wp:simplePos x="0" y="0"/>
                <wp:positionH relativeFrom="page">
                  <wp:posOffset>16510</wp:posOffset>
                </wp:positionH>
                <wp:positionV relativeFrom="paragraph">
                  <wp:posOffset>66675</wp:posOffset>
                </wp:positionV>
                <wp:extent cx="7534275" cy="2247900"/>
                <wp:effectExtent l="0" t="0" r="9525" b="0"/>
                <wp:wrapSquare wrapText="bothSides"/>
                <wp:docPr id="310297334" name="Rectangle 310297334"/>
                <wp:cNvGraphicFramePr/>
                <a:graphic xmlns:a="http://schemas.openxmlformats.org/drawingml/2006/main">
                  <a:graphicData uri="http://schemas.microsoft.com/office/word/2010/wordprocessingShape">
                    <wps:wsp xmlns:wps="http://schemas.microsoft.com/office/word/2010/wordprocessingShape">
                      <wps:cNvSpPr/>
                      <wps:spPr>
                        <a:xfrm>
                          <a:off x="0" y="0"/>
                          <a:ext cx="7534275" cy="2247900"/>
                        </a:xfrm>
                        <a:prstGeom prst="rect">
                          <a:avLst/>
                        </a:prstGeom>
                        <a:solidFill>
                          <a:srgbClr val="F25924"/>
                        </a:solidFill>
                        <a:ln w="9525">
                          <a:noFill/>
                          <a:prstDash val="solid"/>
                        </a:ln>
                        <a:effectLst/>
                      </wps:spPr>
                      <wps:txbx>
                        <w:txbxContent>
                          <w:p w:rsidR="008D4135" w:rsidRPr="001B0196" w:rsidP="00585D7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wps:txbx>
                      <wps:bodyPr rot="0" spcFirstLastPara="0" vertOverflow="overflow" horzOverflow="overflow" vert="horz" wrap="square" lIns="180000" tIns="0" rIns="180000" bIns="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310297334" o:spid="_x0000_s1026" style="width:593.25pt;height:177pt;margin-top:5.25pt;margin-left:1.3pt;mso-height-percent:0;mso-height-relative:margin;mso-position-horizontal-relative:page;mso-width-percent:0;mso-width-relative:margin;mso-wrap-distance-bottom:0;mso-wrap-distance-left:9pt;mso-wrap-distance-right:9pt;mso-wrap-distance-top:0;mso-wrap-style:square;position:absolute;v-text-anchor:middle;visibility:visible;z-index:-251655168" fillcolor="#f25924" stroked="f">
                <v:textbox inset="14.17pt,0,14.17pt,0">
                  <w:txbxContent>
                    <w:p w:rsidR="008D4135" w:rsidRPr="001B0196" w:rsidP="00585D76" w14:paraId="5C1A8B56" w14:textId="77777777">
                      <w:pPr>
                        <w:spacing w:after="0"/>
                        <w:rPr>
                          <w:rFonts w:eastAsia="Cambria" w:cs="Calibri"/>
                          <w:b/>
                          <w:bCs/>
                          <w:color w:val="FFFFFF" w:themeColor="background1"/>
                          <w:sz w:val="24"/>
                          <w:szCs w:val="24"/>
                        </w:rPr>
                      </w:pPr>
                      <w:r w:rsidRPr="001B0196">
                        <w:rPr>
                          <w:rFonts w:eastAsia="Cambria" w:cs="Calibri"/>
                          <w:b/>
                          <w:bCs/>
                          <w:color w:val="FFFFFF" w:themeColor="background1"/>
                          <w:sz w:val="24"/>
                          <w:szCs w:val="24"/>
                        </w:rPr>
                        <w:t xml:space="preserve">Travel Industry Disproportionately Impacted </w:t>
                      </w:r>
                    </w:p>
                    <w:p w:rsidR="008D4135" w:rsidRPr="007D6D44" w:rsidP="00585D76" w14:paraId="01604693" w14:textId="77777777">
                      <w:pPr>
                        <w:spacing w:before="0" w:after="160"/>
                        <w:rPr>
                          <w:color w:val="FFFFFF" w:themeColor="background1"/>
                          <w:szCs w:val="20"/>
                          <w:lang w:val="en-AU"/>
                        </w:rPr>
                      </w:pPr>
                      <w:r w:rsidRPr="007D6D44">
                        <w:rPr>
                          <w:color w:val="FFFFFF" w:themeColor="background1"/>
                          <w:szCs w:val="20"/>
                          <w:lang w:val="en-AU"/>
                        </w:rPr>
                        <w:t xml:space="preserve">The Reserve Bank of Australia (RBA) has previously accepted that travel businesses should be able to surcharge to offset unique card chargeback risks and associated costs. This includes </w:t>
                      </w:r>
                      <w:r w:rsidRPr="007D6D44">
                        <w:rPr>
                          <w:b/>
                          <w:bCs/>
                          <w:color w:val="FFFFFF" w:themeColor="background1"/>
                          <w:sz w:val="18"/>
                          <w:szCs w:val="20"/>
                        </w:rPr>
                        <w:t xml:space="preserve">a “rolling” no fault third party chargeback exposure of around </w:t>
                      </w:r>
                      <w:r>
                        <w:rPr>
                          <w:b/>
                          <w:bCs/>
                          <w:color w:val="FFFFFF" w:themeColor="background1"/>
                          <w:sz w:val="18"/>
                          <w:szCs w:val="20"/>
                        </w:rPr>
                        <w:t xml:space="preserve">            </w:t>
                      </w:r>
                      <w:r w:rsidRPr="007D6D44">
                        <w:rPr>
                          <w:b/>
                          <w:bCs/>
                          <w:color w:val="FFFFFF" w:themeColor="background1"/>
                          <w:sz w:val="18"/>
                          <w:szCs w:val="20"/>
                        </w:rPr>
                        <w:t>$5.4 billion for up to 120 days post-payment</w:t>
                      </w:r>
                      <w:r w:rsidRPr="007D6D44">
                        <w:rPr>
                          <w:color w:val="FFFFFF" w:themeColor="background1"/>
                          <w:sz w:val="18"/>
                          <w:szCs w:val="20"/>
                        </w:rPr>
                        <w:t xml:space="preserve"> due to heightened “forward delivery risk” (FDR). With some travel booked up to 36 months in advance, the chargeback exposure can be even greater. </w:t>
                      </w:r>
                    </w:p>
                    <w:p w:rsidR="008D4135" w:rsidRPr="007D6D44" w:rsidP="001D004A" w14:paraId="65803131" w14:textId="77777777">
                      <w:pPr>
                        <w:rPr>
                          <w:color w:val="FFFFFF" w:themeColor="background1"/>
                          <w:sz w:val="18"/>
                          <w:szCs w:val="20"/>
                        </w:rPr>
                      </w:pPr>
                      <w:r w:rsidRPr="007D6D44">
                        <w:rPr>
                          <w:color w:val="FFFFFF" w:themeColor="background1"/>
                          <w:sz w:val="18"/>
                          <w:szCs w:val="20"/>
                        </w:rPr>
                        <w:t>This is not the same as retail or cafés, where the transaction size is typically smaller and with a much shorter window for chargeback risks, which would generally be a maximum of 30 days.</w:t>
                      </w:r>
                    </w:p>
                    <w:p w:rsidR="008D4135" w:rsidRPr="007D6D44" w:rsidP="001D004A" w14:paraId="01EC230F" w14:textId="77777777">
                      <w:pPr>
                        <w:spacing w:before="160" w:after="160"/>
                        <w:rPr>
                          <w:color w:val="FFFFFF" w:themeColor="background1"/>
                          <w:szCs w:val="20"/>
                        </w:rPr>
                      </w:pPr>
                      <w:r w:rsidRPr="007D6D44">
                        <w:rPr>
                          <w:color w:val="FFFFFF" w:themeColor="background1"/>
                          <w:szCs w:val="20"/>
                        </w:rPr>
                        <w:t>This impacts an agency’s cost of acceptance, because FDR is viewed as an unsecured debt by potential acquirers. While techniques have varied, larger merchants can demonstrate mitigation strategies using their balance sheet, but smaller merchants are extremely vulnerable to excessive bonds charged by the acquirers.</w:t>
                      </w:r>
                    </w:p>
                    <w:p w:rsidR="008D4135" w:rsidRPr="00585D76" w:rsidP="00585D76" w14:paraId="5B09B7DC" w14:textId="77777777">
                      <w:pPr>
                        <w:spacing w:before="160" w:after="160"/>
                        <w:rPr>
                          <w:color w:val="FFFFFF" w:themeColor="background1"/>
                          <w:szCs w:val="20"/>
                        </w:rPr>
                      </w:pPr>
                      <w:r w:rsidRPr="007D6D44">
                        <w:rPr>
                          <w:color w:val="FFFFFF" w:themeColor="background1"/>
                          <w:szCs w:val="20"/>
                        </w:rPr>
                        <w:t xml:space="preserve">Some travel agents have had requests for bonds of greater than $1 million to maintain a merchant terminal over the past five years. </w:t>
                      </w:r>
                      <w:r w:rsidRPr="007D6D44">
                        <w:rPr>
                          <w:b/>
                          <w:bCs/>
                          <w:color w:val="FFFFFF" w:themeColor="background1"/>
                          <w:szCs w:val="20"/>
                        </w:rPr>
                        <w:t>If a bond is unable to be paid the merchant terminal has been removed</w:t>
                      </w:r>
                      <w:r w:rsidRPr="007D6D44">
                        <w:rPr>
                          <w:color w:val="FFFFFF" w:themeColor="background1"/>
                          <w:szCs w:val="20"/>
                        </w:rPr>
                        <w:t xml:space="preserve">, severely limiting the ability to do business.  </w:t>
                      </w:r>
                    </w:p>
                  </w:txbxContent>
                </v:textbox>
                <w10:wrap type="square"/>
              </v:rect>
            </w:pict>
          </mc:Fallback>
        </mc:AlternateContent>
      </w:r>
    </w:p>
    <w:sectPr w:rsidSect="008D4135">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E409A9" w:rsidP="00C11C1A" w14:paraId="391F53A0" w14:textId="77777777">
      <w:pPr>
        <w:spacing w:before="0" w:after="0"/>
      </w:pPr>
      <w:r>
        <w:separator/>
      </w:r>
    </w:p>
  </w:endnote>
  <w:endnote w:type="continuationSeparator" w:id="1">
    <w:p w:rsidR="00E409A9" w:rsidP="00C11C1A" w14:paraId="574A95D0" w14:textId="77777777">
      <w:pPr>
        <w:spacing w:before="0" w:after="0"/>
      </w:pPr>
      <w:r>
        <w:continuationSeparator/>
      </w:r>
    </w:p>
  </w:endnote>
  <w:endnote w:type="continuationNotice" w:id="2">
    <w:p w:rsidR="00E409A9" w14:paraId="4995CD01" w14:textId="77777777">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Roboto Medium">
    <w:charset w:val="00"/>
    <w:family w:val="auto"/>
    <w:pitch w:val="variable"/>
    <w:sig w:usb0="E0000AFF" w:usb1="5000217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rsidRPr="00585D76" w:rsidP="00585D76" w14:paraId="2E49AABC" w14:textId="77777777">
    <w:pPr>
      <w:pStyle w:val="Default"/>
      <w:spacing w:before="120" w:after="120"/>
      <w:jc w:val="both"/>
      <w:rPr>
        <w:rFonts w:ascii="Roboto" w:hAnsi="Roboto"/>
        <w:i/>
        <w:iCs/>
        <w:sz w:val="18"/>
        <w:szCs w:val="18"/>
      </w:rPr>
    </w:pPr>
    <w:r w:rsidRPr="004A2C4F">
      <w:rPr>
        <w:rFonts w:ascii="Roboto" w:hAnsi="Roboto"/>
        <w:i/>
        <w:iCs/>
        <w:sz w:val="18"/>
        <w:szCs w:val="18"/>
      </w:rPr>
      <w:t xml:space="preserve">For more information, contact Ingrid Fraser, </w:t>
    </w:r>
    <w:r>
      <w:rPr>
        <w:rFonts w:ascii="Roboto" w:hAnsi="Roboto"/>
        <w:i/>
        <w:iCs/>
        <w:sz w:val="18"/>
        <w:szCs w:val="18"/>
      </w:rPr>
      <w:t xml:space="preserve">ATIA’s </w:t>
    </w:r>
    <w:r w:rsidRPr="004A2C4F">
      <w:rPr>
        <w:rFonts w:ascii="Roboto" w:hAnsi="Roboto"/>
        <w:i/>
        <w:iCs/>
        <w:sz w:val="18"/>
        <w:szCs w:val="18"/>
      </w:rPr>
      <w:t xml:space="preserve">Director of Public Policy &amp; Advocacy at </w:t>
    </w:r>
    <w:hyperlink r:id="rId1" w:history="1">
      <w:r w:rsidRPr="004A2C4F">
        <w:rPr>
          <w:rStyle w:val="Hyperlink"/>
          <w:rFonts w:ascii="Roboto" w:hAnsi="Roboto"/>
          <w:i/>
          <w:iCs/>
          <w:sz w:val="18"/>
          <w:szCs w:val="18"/>
        </w:rPr>
        <w:t>ingrid.fraser@atia.travel</w:t>
      </w:r>
    </w:hyperlink>
    <w:r w:rsidRPr="004A2C4F">
      <w:rPr>
        <w:rFonts w:ascii="Roboto" w:hAnsi="Roboto"/>
        <w:i/>
        <w:iCs/>
        <w:sz w:val="18"/>
        <w:szCs w:val="18"/>
      </w:rPr>
      <w:t xml:space="preserve"> or 02 9287 9900.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409A9" w:rsidP="00C11C1A" w14:paraId="3A3692ED" w14:textId="77777777">
      <w:pPr>
        <w:spacing w:before="0" w:after="0"/>
      </w:pPr>
      <w:r>
        <w:separator/>
      </w:r>
    </w:p>
  </w:footnote>
  <w:footnote w:type="continuationSeparator" w:id="1">
    <w:p w:rsidR="00E409A9" w:rsidP="00C11C1A" w14:paraId="17D4011C" w14:textId="77777777">
      <w:pPr>
        <w:spacing w:before="0" w:after="0"/>
      </w:pPr>
      <w:r>
        <w:continuationSeparator/>
      </w:r>
    </w:p>
  </w:footnote>
  <w:footnote w:type="continuationNotice" w:id="2">
    <w:p w:rsidR="00E409A9" w14:paraId="6DD730B0" w14:textId="77777777">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D4135" w14:paraId="1700C37A" w14:textId="77777777">
    <w:pPr>
      <w:pStyle w:val="Header"/>
    </w:pPr>
    <w:r w:rsidRPr="00FA4D8D">
      <w:rPr>
        <w:rFonts w:ascii="Calibri" w:hAnsi="Calibri" w:cs="Calibri"/>
        <w:i/>
        <w:noProof/>
      </w:rPr>
      <w:drawing>
        <wp:anchor distT="0" distB="0" distL="114300" distR="114300" simplePos="0" relativeHeight="251658240" behindDoc="1" locked="0" layoutInCell="1" allowOverlap="1">
          <wp:simplePos x="0" y="0"/>
          <wp:positionH relativeFrom="column">
            <wp:posOffset>5417820</wp:posOffset>
          </wp:positionH>
          <wp:positionV relativeFrom="paragraph">
            <wp:posOffset>-290195</wp:posOffset>
          </wp:positionV>
          <wp:extent cx="929447" cy="635000"/>
          <wp:effectExtent l="0" t="0" r="4445" b="0"/>
          <wp:wrapNone/>
          <wp:docPr id="456249463" name="Picture 456249463"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6249463" name="Picture 1369642452" descr="A close-up of a logo&#10;&#10;Description automatically generated"/>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929447"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1">
    <w:nsid w:val="07F44C28"/>
    <w:multiLevelType w:val="hybridMultilevel"/>
    <w:tmpl w:val="AEA8E5D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 w15:restartNumberingAfterBreak="1">
    <w:nsid w:val="16271927"/>
    <w:multiLevelType w:val="hybridMultilevel"/>
    <w:tmpl w:val="4222A04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15:restartNumberingAfterBreak="1">
    <w:nsid w:val="1B390EFE"/>
    <w:multiLevelType w:val="hybridMultilevel"/>
    <w:tmpl w:val="AEB83F26"/>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15:restartNumberingAfterBreak="1">
    <w:nsid w:val="1D130A4E"/>
    <w:multiLevelType w:val="hybridMultilevel"/>
    <w:tmpl w:val="14F8DBF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 w15:restartNumberingAfterBreak="1">
    <w:nsid w:val="26A954A5"/>
    <w:multiLevelType w:val="hybridMultilevel"/>
    <w:tmpl w:val="D82250AC"/>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5" w15:restartNumberingAfterBreak="1">
    <w:nsid w:val="2C160C83"/>
    <w:multiLevelType w:val="hybridMultilevel"/>
    <w:tmpl w:val="4156D448"/>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6" w15:restartNumberingAfterBreak="1">
    <w:nsid w:val="2EEF43E6"/>
    <w:multiLevelType w:val="hybridMultilevel"/>
    <w:tmpl w:val="5472F1A0"/>
    <w:lvl w:ilvl="0">
      <w:start w:val="0"/>
      <w:numFmt w:val="bullet"/>
      <w:lvlText w:val="-"/>
      <w:lvlJc w:val="left"/>
      <w:pPr>
        <w:ind w:left="360" w:hanging="360"/>
      </w:pPr>
      <w:rPr>
        <w:rFonts w:ascii="Roboto" w:hAnsi="Roboto" w:eastAsiaTheme="minorHAnsi" w:cstheme="majorHAnsi"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7" w15:restartNumberingAfterBreak="1">
    <w:nsid w:val="350653F9"/>
    <w:multiLevelType w:val="hybridMultilevel"/>
    <w:tmpl w:val="64440EC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15:restartNumberingAfterBreak="1">
    <w:nsid w:val="366D334E"/>
    <w:multiLevelType w:val="hybridMultilevel"/>
    <w:tmpl w:val="C936B6A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9" w15:restartNumberingAfterBreak="1">
    <w:nsid w:val="37A732EB"/>
    <w:multiLevelType w:val="hybridMultilevel"/>
    <w:tmpl w:val="28F8116A"/>
    <w:lvl w:ilvl="0">
      <w:start w:val="1"/>
      <w:numFmt w:val="bullet"/>
      <w:pStyle w:val="ListParagraph"/>
      <w:lvlText w:val=""/>
      <w:lvlJc w:val="left"/>
      <w:pPr>
        <w:ind w:left="720" w:hanging="360"/>
      </w:pPr>
      <w:rPr>
        <w:rFonts w:ascii="Symbol" w:hAnsi="Symbol" w:hint="default"/>
        <w:color w:val="FFC000" w:themeColor="accent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pStyle w:val="TFBulletListL3"/>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15:restartNumberingAfterBreak="1">
    <w:nsid w:val="44EE261F"/>
    <w:multiLevelType w:val="hybridMultilevel"/>
    <w:tmpl w:val="67D4D1D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15:restartNumberingAfterBreak="1">
    <w:nsid w:val="47653056"/>
    <w:multiLevelType w:val="hybridMultilevel"/>
    <w:tmpl w:val="889069EA"/>
    <w:lvl w:ilvl="0">
      <w:start w:val="1"/>
      <w:numFmt w:val="bullet"/>
      <w:lvlText w:val=""/>
      <w:lvlJc w:val="left"/>
      <w:pPr>
        <w:ind w:left="1636" w:hanging="360"/>
      </w:pPr>
      <w:rPr>
        <w:rFonts w:ascii="Symbol" w:hAnsi="Symbol" w:hint="default"/>
      </w:rPr>
    </w:lvl>
    <w:lvl w:ilvl="1" w:tentative="1">
      <w:start w:val="1"/>
      <w:numFmt w:val="bullet"/>
      <w:lvlText w:val="o"/>
      <w:lvlJc w:val="left"/>
      <w:pPr>
        <w:ind w:left="2356" w:hanging="360"/>
      </w:pPr>
      <w:rPr>
        <w:rFonts w:ascii="Courier New" w:hAnsi="Courier New" w:cs="Courier New" w:hint="default"/>
      </w:rPr>
    </w:lvl>
    <w:lvl w:ilvl="2" w:tentative="1">
      <w:start w:val="1"/>
      <w:numFmt w:val="bullet"/>
      <w:lvlText w:val=""/>
      <w:lvlJc w:val="left"/>
      <w:pPr>
        <w:ind w:left="3076" w:hanging="360"/>
      </w:pPr>
      <w:rPr>
        <w:rFonts w:ascii="Wingdings" w:hAnsi="Wingdings" w:hint="default"/>
      </w:rPr>
    </w:lvl>
    <w:lvl w:ilvl="3" w:tentative="1">
      <w:start w:val="1"/>
      <w:numFmt w:val="bullet"/>
      <w:lvlText w:val=""/>
      <w:lvlJc w:val="left"/>
      <w:pPr>
        <w:ind w:left="3796" w:hanging="360"/>
      </w:pPr>
      <w:rPr>
        <w:rFonts w:ascii="Symbol" w:hAnsi="Symbol" w:hint="default"/>
      </w:rPr>
    </w:lvl>
    <w:lvl w:ilvl="4" w:tentative="1">
      <w:start w:val="1"/>
      <w:numFmt w:val="bullet"/>
      <w:lvlText w:val="o"/>
      <w:lvlJc w:val="left"/>
      <w:pPr>
        <w:ind w:left="4516" w:hanging="360"/>
      </w:pPr>
      <w:rPr>
        <w:rFonts w:ascii="Courier New" w:hAnsi="Courier New" w:cs="Courier New" w:hint="default"/>
      </w:rPr>
    </w:lvl>
    <w:lvl w:ilvl="5" w:tentative="1">
      <w:start w:val="1"/>
      <w:numFmt w:val="bullet"/>
      <w:lvlText w:val=""/>
      <w:lvlJc w:val="left"/>
      <w:pPr>
        <w:ind w:left="5236" w:hanging="360"/>
      </w:pPr>
      <w:rPr>
        <w:rFonts w:ascii="Wingdings" w:hAnsi="Wingdings" w:hint="default"/>
      </w:rPr>
    </w:lvl>
    <w:lvl w:ilvl="6" w:tentative="1">
      <w:start w:val="1"/>
      <w:numFmt w:val="bullet"/>
      <w:lvlText w:val=""/>
      <w:lvlJc w:val="left"/>
      <w:pPr>
        <w:ind w:left="5956" w:hanging="360"/>
      </w:pPr>
      <w:rPr>
        <w:rFonts w:ascii="Symbol" w:hAnsi="Symbol" w:hint="default"/>
      </w:rPr>
    </w:lvl>
    <w:lvl w:ilvl="7" w:tentative="1">
      <w:start w:val="1"/>
      <w:numFmt w:val="bullet"/>
      <w:lvlText w:val="o"/>
      <w:lvlJc w:val="left"/>
      <w:pPr>
        <w:ind w:left="6676" w:hanging="360"/>
      </w:pPr>
      <w:rPr>
        <w:rFonts w:ascii="Courier New" w:hAnsi="Courier New" w:cs="Courier New" w:hint="default"/>
      </w:rPr>
    </w:lvl>
    <w:lvl w:ilvl="8" w:tentative="1">
      <w:start w:val="1"/>
      <w:numFmt w:val="bullet"/>
      <w:lvlText w:val=""/>
      <w:lvlJc w:val="left"/>
      <w:pPr>
        <w:ind w:left="7396" w:hanging="360"/>
      </w:pPr>
      <w:rPr>
        <w:rFonts w:ascii="Wingdings" w:hAnsi="Wingdings" w:hint="default"/>
      </w:rPr>
    </w:lvl>
  </w:abstractNum>
  <w:abstractNum w:abstractNumId="12" w15:restartNumberingAfterBreak="1">
    <w:nsid w:val="4A4172EE"/>
    <w:multiLevelType w:val="hybridMultilevel"/>
    <w:tmpl w:val="F7040E4A"/>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3" w15:restartNumberingAfterBreak="1">
    <w:nsid w:val="53577845"/>
    <w:multiLevelType w:val="hybridMultilevel"/>
    <w:tmpl w:val="A56C9D1E"/>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4" w15:restartNumberingAfterBreak="1">
    <w:nsid w:val="576A585B"/>
    <w:multiLevelType w:val="hybridMultilevel"/>
    <w:tmpl w:val="E4704240"/>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5" w15:restartNumberingAfterBreak="1">
    <w:nsid w:val="5E470624"/>
    <w:multiLevelType w:val="hybridMultilevel"/>
    <w:tmpl w:val="66346F44"/>
    <w:lvl w:ilvl="0">
      <w:start w:val="1"/>
      <w:numFmt w:val="bullet"/>
      <w:lvlText w:val=""/>
      <w:lvlJc w:val="left"/>
      <w:pPr>
        <w:ind w:left="360" w:hanging="360"/>
      </w:pPr>
      <w:rPr>
        <w:rFonts w:ascii="Symbol" w:hAnsi="Symbo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15:restartNumberingAfterBreak="1">
    <w:nsid w:val="77276EA1"/>
    <w:multiLevelType w:val="hybridMultilevel"/>
    <w:tmpl w:val="A5DECF6A"/>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num w:numId="1" w16cid:durableId="28456567">
    <w:abstractNumId w:val="9"/>
  </w:num>
  <w:num w:numId="2" w16cid:durableId="1874923242">
    <w:abstractNumId w:val="11"/>
  </w:num>
  <w:num w:numId="3" w16cid:durableId="463081271">
    <w:abstractNumId w:val="14"/>
  </w:num>
  <w:num w:numId="4" w16cid:durableId="981154860">
    <w:abstractNumId w:val="8"/>
  </w:num>
  <w:num w:numId="5" w16cid:durableId="1941789728">
    <w:abstractNumId w:val="16"/>
  </w:num>
  <w:num w:numId="6" w16cid:durableId="1202939667">
    <w:abstractNumId w:val="3"/>
  </w:num>
  <w:num w:numId="7" w16cid:durableId="800657080">
    <w:abstractNumId w:val="13"/>
  </w:num>
  <w:num w:numId="8" w16cid:durableId="1449162479">
    <w:abstractNumId w:val="0"/>
  </w:num>
  <w:num w:numId="9" w16cid:durableId="750467180">
    <w:abstractNumId w:val="10"/>
  </w:num>
  <w:num w:numId="10" w16cid:durableId="1653412385">
    <w:abstractNumId w:val="7"/>
  </w:num>
  <w:num w:numId="11" w16cid:durableId="1490560788">
    <w:abstractNumId w:val="15"/>
  </w:num>
  <w:num w:numId="12" w16cid:durableId="1482505344">
    <w:abstractNumId w:val="5"/>
  </w:num>
  <w:num w:numId="13" w16cid:durableId="242685079">
    <w:abstractNumId w:val="1"/>
  </w:num>
  <w:num w:numId="14" w16cid:durableId="604535017">
    <w:abstractNumId w:val="6"/>
  </w:num>
  <w:num w:numId="15" w16cid:durableId="1805734674">
    <w:abstractNumId w:val="4"/>
  </w:num>
  <w:num w:numId="16" w16cid:durableId="1259829434">
    <w:abstractNumId w:val="12"/>
  </w:num>
  <w:num w:numId="17" w16cid:durableId="10083672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0"/>
    <w:footnote w:id="1"/>
    <w:footnote w:id="2"/>
  </w:footnotePr>
  <w:endnotePr>
    <w:endnote w:id="0"/>
    <w:endnote w:id="1"/>
    <w:endnote w:id="2"/>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AC7"/>
    <w:rsid w:val="00005040"/>
    <w:rsid w:val="00016B0C"/>
    <w:rsid w:val="000201E2"/>
    <w:rsid w:val="00035D56"/>
    <w:rsid w:val="0003629F"/>
    <w:rsid w:val="00042B22"/>
    <w:rsid w:val="00047888"/>
    <w:rsid w:val="000741FF"/>
    <w:rsid w:val="000768BA"/>
    <w:rsid w:val="000A0DF4"/>
    <w:rsid w:val="000A1940"/>
    <w:rsid w:val="000A516C"/>
    <w:rsid w:val="000A75A1"/>
    <w:rsid w:val="000B3243"/>
    <w:rsid w:val="000D3AA1"/>
    <w:rsid w:val="000F5ED1"/>
    <w:rsid w:val="00100BC0"/>
    <w:rsid w:val="001115A5"/>
    <w:rsid w:val="0011426F"/>
    <w:rsid w:val="00121B68"/>
    <w:rsid w:val="00133478"/>
    <w:rsid w:val="00141D29"/>
    <w:rsid w:val="00142D21"/>
    <w:rsid w:val="0015443E"/>
    <w:rsid w:val="001662BF"/>
    <w:rsid w:val="001670CC"/>
    <w:rsid w:val="0017164B"/>
    <w:rsid w:val="00176EC5"/>
    <w:rsid w:val="001B0196"/>
    <w:rsid w:val="001B1822"/>
    <w:rsid w:val="001B2DA0"/>
    <w:rsid w:val="001C18FF"/>
    <w:rsid w:val="001C39C0"/>
    <w:rsid w:val="001D004A"/>
    <w:rsid w:val="001D3C66"/>
    <w:rsid w:val="002030B0"/>
    <w:rsid w:val="00204A66"/>
    <w:rsid w:val="00206B8F"/>
    <w:rsid w:val="00210350"/>
    <w:rsid w:val="00227877"/>
    <w:rsid w:val="00232E46"/>
    <w:rsid w:val="00242A1E"/>
    <w:rsid w:val="00245F62"/>
    <w:rsid w:val="00275652"/>
    <w:rsid w:val="002807EF"/>
    <w:rsid w:val="00283000"/>
    <w:rsid w:val="0028584D"/>
    <w:rsid w:val="00294D29"/>
    <w:rsid w:val="002A291A"/>
    <w:rsid w:val="002B0AAC"/>
    <w:rsid w:val="002B327D"/>
    <w:rsid w:val="002B5766"/>
    <w:rsid w:val="002B5D67"/>
    <w:rsid w:val="002B6D2D"/>
    <w:rsid w:val="002C2DED"/>
    <w:rsid w:val="002D5220"/>
    <w:rsid w:val="002D54A5"/>
    <w:rsid w:val="002D6ED2"/>
    <w:rsid w:val="002E2C70"/>
    <w:rsid w:val="002E49B0"/>
    <w:rsid w:val="002E6230"/>
    <w:rsid w:val="00302533"/>
    <w:rsid w:val="00304EA3"/>
    <w:rsid w:val="0030553A"/>
    <w:rsid w:val="003070FC"/>
    <w:rsid w:val="00310DDB"/>
    <w:rsid w:val="00311FB8"/>
    <w:rsid w:val="00322EC8"/>
    <w:rsid w:val="00332F60"/>
    <w:rsid w:val="0034621A"/>
    <w:rsid w:val="003607D2"/>
    <w:rsid w:val="00373AC7"/>
    <w:rsid w:val="003800D5"/>
    <w:rsid w:val="00394BD8"/>
    <w:rsid w:val="003D1607"/>
    <w:rsid w:val="003D21F6"/>
    <w:rsid w:val="003E11C0"/>
    <w:rsid w:val="003E3CF0"/>
    <w:rsid w:val="003F73E3"/>
    <w:rsid w:val="00407926"/>
    <w:rsid w:val="0041225A"/>
    <w:rsid w:val="004267F5"/>
    <w:rsid w:val="00435167"/>
    <w:rsid w:val="0044176A"/>
    <w:rsid w:val="004652FA"/>
    <w:rsid w:val="00487157"/>
    <w:rsid w:val="00487825"/>
    <w:rsid w:val="0049291D"/>
    <w:rsid w:val="004A0963"/>
    <w:rsid w:val="004A2C4F"/>
    <w:rsid w:val="004A46B1"/>
    <w:rsid w:val="004C16F2"/>
    <w:rsid w:val="004C1B7C"/>
    <w:rsid w:val="004E130F"/>
    <w:rsid w:val="004E4CBB"/>
    <w:rsid w:val="004E6DFC"/>
    <w:rsid w:val="00506AFA"/>
    <w:rsid w:val="0051253B"/>
    <w:rsid w:val="005312B0"/>
    <w:rsid w:val="00550C76"/>
    <w:rsid w:val="005514AF"/>
    <w:rsid w:val="00553861"/>
    <w:rsid w:val="005574E5"/>
    <w:rsid w:val="00575640"/>
    <w:rsid w:val="00577814"/>
    <w:rsid w:val="00580902"/>
    <w:rsid w:val="00585D76"/>
    <w:rsid w:val="00591D58"/>
    <w:rsid w:val="005A03BF"/>
    <w:rsid w:val="005A28DC"/>
    <w:rsid w:val="005A792A"/>
    <w:rsid w:val="005B09D7"/>
    <w:rsid w:val="005C3014"/>
    <w:rsid w:val="005C7A3A"/>
    <w:rsid w:val="005D0E99"/>
    <w:rsid w:val="005D485F"/>
    <w:rsid w:val="005D56E4"/>
    <w:rsid w:val="005E1269"/>
    <w:rsid w:val="006018B6"/>
    <w:rsid w:val="00602514"/>
    <w:rsid w:val="0061436F"/>
    <w:rsid w:val="006358C9"/>
    <w:rsid w:val="0064267B"/>
    <w:rsid w:val="006426D3"/>
    <w:rsid w:val="00670005"/>
    <w:rsid w:val="00683650"/>
    <w:rsid w:val="00683E1D"/>
    <w:rsid w:val="006944B9"/>
    <w:rsid w:val="00697506"/>
    <w:rsid w:val="006A6AEF"/>
    <w:rsid w:val="006B31FE"/>
    <w:rsid w:val="006B4A5A"/>
    <w:rsid w:val="006D0B96"/>
    <w:rsid w:val="006D35B8"/>
    <w:rsid w:val="006D4BD8"/>
    <w:rsid w:val="006D5F25"/>
    <w:rsid w:val="006E7396"/>
    <w:rsid w:val="006F3A3C"/>
    <w:rsid w:val="006F5630"/>
    <w:rsid w:val="006F7CEC"/>
    <w:rsid w:val="007004F1"/>
    <w:rsid w:val="00710513"/>
    <w:rsid w:val="00710B31"/>
    <w:rsid w:val="007176E2"/>
    <w:rsid w:val="007203F3"/>
    <w:rsid w:val="0072283C"/>
    <w:rsid w:val="00723B72"/>
    <w:rsid w:val="0072713C"/>
    <w:rsid w:val="00727BC1"/>
    <w:rsid w:val="00733470"/>
    <w:rsid w:val="00736DBF"/>
    <w:rsid w:val="00753294"/>
    <w:rsid w:val="007575DF"/>
    <w:rsid w:val="007638DD"/>
    <w:rsid w:val="00764E72"/>
    <w:rsid w:val="007666D8"/>
    <w:rsid w:val="0079172A"/>
    <w:rsid w:val="007B1150"/>
    <w:rsid w:val="007B2598"/>
    <w:rsid w:val="007C37BE"/>
    <w:rsid w:val="007C7E81"/>
    <w:rsid w:val="007D6A02"/>
    <w:rsid w:val="007D6D44"/>
    <w:rsid w:val="007D7260"/>
    <w:rsid w:val="0087594E"/>
    <w:rsid w:val="00875BBA"/>
    <w:rsid w:val="00875C12"/>
    <w:rsid w:val="00877302"/>
    <w:rsid w:val="00881659"/>
    <w:rsid w:val="0088550C"/>
    <w:rsid w:val="00885CA8"/>
    <w:rsid w:val="008873FC"/>
    <w:rsid w:val="008960E7"/>
    <w:rsid w:val="008A1491"/>
    <w:rsid w:val="008A7435"/>
    <w:rsid w:val="008B71A4"/>
    <w:rsid w:val="008D21A0"/>
    <w:rsid w:val="008D4135"/>
    <w:rsid w:val="008D7491"/>
    <w:rsid w:val="008E309C"/>
    <w:rsid w:val="008E5776"/>
    <w:rsid w:val="008F70F4"/>
    <w:rsid w:val="00900296"/>
    <w:rsid w:val="009016B4"/>
    <w:rsid w:val="00915475"/>
    <w:rsid w:val="00917663"/>
    <w:rsid w:val="0092198A"/>
    <w:rsid w:val="00930A38"/>
    <w:rsid w:val="009344F1"/>
    <w:rsid w:val="0094439E"/>
    <w:rsid w:val="0094498B"/>
    <w:rsid w:val="00945457"/>
    <w:rsid w:val="0095046F"/>
    <w:rsid w:val="00951BBF"/>
    <w:rsid w:val="0096069B"/>
    <w:rsid w:val="00970959"/>
    <w:rsid w:val="0097405B"/>
    <w:rsid w:val="00974770"/>
    <w:rsid w:val="009773CD"/>
    <w:rsid w:val="00991BC2"/>
    <w:rsid w:val="009954F0"/>
    <w:rsid w:val="009956E9"/>
    <w:rsid w:val="00997ED7"/>
    <w:rsid w:val="009A7C51"/>
    <w:rsid w:val="009D0B43"/>
    <w:rsid w:val="009D288C"/>
    <w:rsid w:val="009E4CD5"/>
    <w:rsid w:val="009F0A9D"/>
    <w:rsid w:val="009F758B"/>
    <w:rsid w:val="00A03060"/>
    <w:rsid w:val="00A03B7B"/>
    <w:rsid w:val="00A06780"/>
    <w:rsid w:val="00A1273D"/>
    <w:rsid w:val="00A21ECC"/>
    <w:rsid w:val="00A25415"/>
    <w:rsid w:val="00A327A4"/>
    <w:rsid w:val="00A34E40"/>
    <w:rsid w:val="00A46F2D"/>
    <w:rsid w:val="00A51A7A"/>
    <w:rsid w:val="00A54F42"/>
    <w:rsid w:val="00A57252"/>
    <w:rsid w:val="00A62C0F"/>
    <w:rsid w:val="00A64EFD"/>
    <w:rsid w:val="00A72E7F"/>
    <w:rsid w:val="00A76935"/>
    <w:rsid w:val="00A81870"/>
    <w:rsid w:val="00A8553A"/>
    <w:rsid w:val="00A8640D"/>
    <w:rsid w:val="00A909B5"/>
    <w:rsid w:val="00AB5479"/>
    <w:rsid w:val="00AB5AA1"/>
    <w:rsid w:val="00AC6299"/>
    <w:rsid w:val="00AD4CD3"/>
    <w:rsid w:val="00AE325E"/>
    <w:rsid w:val="00AE5564"/>
    <w:rsid w:val="00AF54A1"/>
    <w:rsid w:val="00B02CB6"/>
    <w:rsid w:val="00B03F26"/>
    <w:rsid w:val="00B209DB"/>
    <w:rsid w:val="00B31FCC"/>
    <w:rsid w:val="00B322CA"/>
    <w:rsid w:val="00B43AA7"/>
    <w:rsid w:val="00B73955"/>
    <w:rsid w:val="00B74435"/>
    <w:rsid w:val="00B81794"/>
    <w:rsid w:val="00B86E8E"/>
    <w:rsid w:val="00BA027D"/>
    <w:rsid w:val="00BB3CBF"/>
    <w:rsid w:val="00BB4400"/>
    <w:rsid w:val="00BC1C61"/>
    <w:rsid w:val="00BC38C7"/>
    <w:rsid w:val="00BC42D3"/>
    <w:rsid w:val="00BF7254"/>
    <w:rsid w:val="00C023C5"/>
    <w:rsid w:val="00C11C1A"/>
    <w:rsid w:val="00C25268"/>
    <w:rsid w:val="00C36A38"/>
    <w:rsid w:val="00C408C4"/>
    <w:rsid w:val="00C4793B"/>
    <w:rsid w:val="00C52E7E"/>
    <w:rsid w:val="00C576B4"/>
    <w:rsid w:val="00C6195A"/>
    <w:rsid w:val="00C657F5"/>
    <w:rsid w:val="00C73582"/>
    <w:rsid w:val="00C8117B"/>
    <w:rsid w:val="00C90E1C"/>
    <w:rsid w:val="00C96014"/>
    <w:rsid w:val="00CB712D"/>
    <w:rsid w:val="00CC1077"/>
    <w:rsid w:val="00CC52D4"/>
    <w:rsid w:val="00CD795F"/>
    <w:rsid w:val="00CD7B73"/>
    <w:rsid w:val="00CE4467"/>
    <w:rsid w:val="00CE7934"/>
    <w:rsid w:val="00D00AE2"/>
    <w:rsid w:val="00D02694"/>
    <w:rsid w:val="00D04A82"/>
    <w:rsid w:val="00D1123D"/>
    <w:rsid w:val="00D218EA"/>
    <w:rsid w:val="00D2216A"/>
    <w:rsid w:val="00D42913"/>
    <w:rsid w:val="00D47AF8"/>
    <w:rsid w:val="00D740E9"/>
    <w:rsid w:val="00D75F6D"/>
    <w:rsid w:val="00D81B7F"/>
    <w:rsid w:val="00DA2DE3"/>
    <w:rsid w:val="00DB0C6F"/>
    <w:rsid w:val="00DB1C30"/>
    <w:rsid w:val="00DB23E2"/>
    <w:rsid w:val="00DB2F77"/>
    <w:rsid w:val="00DC2E4F"/>
    <w:rsid w:val="00DC2ED1"/>
    <w:rsid w:val="00DC3418"/>
    <w:rsid w:val="00DD4360"/>
    <w:rsid w:val="00DD789C"/>
    <w:rsid w:val="00DE7232"/>
    <w:rsid w:val="00DF4CB9"/>
    <w:rsid w:val="00E0084D"/>
    <w:rsid w:val="00E10989"/>
    <w:rsid w:val="00E11605"/>
    <w:rsid w:val="00E2513C"/>
    <w:rsid w:val="00E40041"/>
    <w:rsid w:val="00E409A9"/>
    <w:rsid w:val="00E42481"/>
    <w:rsid w:val="00E427B0"/>
    <w:rsid w:val="00E4543C"/>
    <w:rsid w:val="00E631B7"/>
    <w:rsid w:val="00E6705A"/>
    <w:rsid w:val="00E74E0D"/>
    <w:rsid w:val="00EA10DE"/>
    <w:rsid w:val="00EA2841"/>
    <w:rsid w:val="00EA3C3A"/>
    <w:rsid w:val="00EB3334"/>
    <w:rsid w:val="00EB5ADA"/>
    <w:rsid w:val="00EE5BAC"/>
    <w:rsid w:val="00EF0B7D"/>
    <w:rsid w:val="00EF161C"/>
    <w:rsid w:val="00EF68A6"/>
    <w:rsid w:val="00F03EEF"/>
    <w:rsid w:val="00F10678"/>
    <w:rsid w:val="00F10700"/>
    <w:rsid w:val="00F2095F"/>
    <w:rsid w:val="00F35CAB"/>
    <w:rsid w:val="00F71F2E"/>
    <w:rsid w:val="00F722CF"/>
    <w:rsid w:val="00F74AEC"/>
    <w:rsid w:val="00F772E2"/>
    <w:rsid w:val="00F84F34"/>
    <w:rsid w:val="00F90138"/>
    <w:rsid w:val="00F90B8B"/>
    <w:rsid w:val="00FA1A6C"/>
    <w:rsid w:val="00FA421F"/>
    <w:rsid w:val="00FB2E22"/>
    <w:rsid w:val="00FC136C"/>
    <w:rsid w:val="00FC5C66"/>
    <w:rsid w:val="00FC63C3"/>
    <w:rsid w:val="00FF5D1F"/>
  </w:rsids>
  <m:mathPr>
    <m:mathFont m:val="Cambria Math"/>
  </m:mathPr>
  <w:themeFontLang w:val="en-AU" w:eastAsia="ja-JP" w:bidi="ar-SA"/>
  <w:clrSchemeMapping w:bg1="light1" w:t1="dark1" w:bg2="light2" w:t2="dark2" w:accent1="accent1" w:accent2="accent2" w:accent3="accent3" w:accent4="accent4" w:accent5="accent5" w:accent6="accent6" w:hyperlink="hyperlink" w:followedHyperlink="followedHyperlink"/>
  <w14:docId w14:val="774FA8D5"/>
  <w15:chartTrackingRefBased/>
  <w15:docId w15:val="{C729C65D-D675-4728-9A20-C1AD6835B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91BC2"/>
    <w:pPr>
      <w:spacing w:before="120" w:after="120" w:line="240" w:lineRule="auto"/>
    </w:pPr>
    <w:rPr>
      <w:rFonts w:ascii="Roboto" w:hAnsi="Roboto" w:cstheme="majorHAnsi"/>
      <w:kern w:val="0"/>
      <w:sz w:val="2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1C1A"/>
    <w:pPr>
      <w:tabs>
        <w:tab w:val="center" w:pos="4513"/>
        <w:tab w:val="right" w:pos="9026"/>
      </w:tabs>
      <w:spacing w:after="0"/>
    </w:pPr>
  </w:style>
  <w:style w:type="character" w:customStyle="1" w:styleId="HeaderChar">
    <w:name w:val="Header Char"/>
    <w:basedOn w:val="DefaultParagraphFont"/>
    <w:link w:val="Header"/>
    <w:uiPriority w:val="99"/>
    <w:rsid w:val="00C11C1A"/>
  </w:style>
  <w:style w:type="paragraph" w:styleId="Footer">
    <w:name w:val="footer"/>
    <w:basedOn w:val="Normal"/>
    <w:link w:val="FooterChar"/>
    <w:uiPriority w:val="99"/>
    <w:unhideWhenUsed/>
    <w:rsid w:val="00C11C1A"/>
    <w:pPr>
      <w:tabs>
        <w:tab w:val="center" w:pos="4513"/>
        <w:tab w:val="right" w:pos="9026"/>
      </w:tabs>
      <w:spacing w:after="0"/>
    </w:pPr>
  </w:style>
  <w:style w:type="character" w:customStyle="1" w:styleId="FooterChar">
    <w:name w:val="Footer Char"/>
    <w:basedOn w:val="DefaultParagraphFont"/>
    <w:link w:val="Footer"/>
    <w:uiPriority w:val="99"/>
    <w:rsid w:val="00C11C1A"/>
  </w:style>
  <w:style w:type="paragraph" w:customStyle="1" w:styleId="TFBulletListL3">
    <w:name w:val="TF_BulletList_L3"/>
    <w:basedOn w:val="Normal"/>
    <w:rsid w:val="00991BC2"/>
    <w:pPr>
      <w:numPr>
        <w:ilvl w:val="2"/>
        <w:numId w:val="1"/>
      </w:numPr>
      <w:tabs>
        <w:tab w:val="num" w:pos="340"/>
      </w:tabs>
      <w:spacing w:after="0"/>
      <w:contextualSpacing/>
    </w:pPr>
    <w:rPr>
      <w:lang w:val="en-GB"/>
    </w:rPr>
  </w:style>
  <w:style w:type="paragraph" w:styleId="ListParagraph">
    <w:name w:val="List Paragraph"/>
    <w:basedOn w:val="Normal"/>
    <w:uiPriority w:val="34"/>
    <w:qFormat/>
    <w:rsid w:val="00991BC2"/>
    <w:pPr>
      <w:numPr>
        <w:numId w:val="1"/>
      </w:numPr>
      <w:spacing w:after="0"/>
      <w:contextualSpacing/>
    </w:pPr>
    <w:rPr>
      <w:lang w:val="en-GB"/>
    </w:rPr>
  </w:style>
  <w:style w:type="paragraph" w:customStyle="1" w:styleId="Default">
    <w:name w:val="Default"/>
    <w:rsid w:val="00F10700"/>
    <w:pPr>
      <w:autoSpaceDE w:val="0"/>
      <w:autoSpaceDN w:val="0"/>
      <w:adjustRightInd w:val="0"/>
      <w:spacing w:after="0" w:line="240" w:lineRule="auto"/>
    </w:pPr>
    <w:rPr>
      <w:rFonts w:ascii="Arial" w:eastAsia="Arial Unicode MS" w:hAnsi="Arial" w:cs="Arial"/>
      <w:color w:val="000000"/>
      <w:kern w:val="0"/>
      <w:sz w:val="24"/>
      <w:szCs w:val="24"/>
      <w:bdr w:val="nil"/>
      <w:lang w:eastAsia="de-DE"/>
      <w14:ligatures w14:val="none"/>
    </w:rPr>
  </w:style>
  <w:style w:type="table" w:styleId="TableGrid">
    <w:name w:val="Table Grid"/>
    <w:basedOn w:val="TableNormal"/>
    <w:uiPriority w:val="39"/>
    <w:rsid w:val="008E309C"/>
    <w:pPr>
      <w:spacing w:after="0" w:line="240" w:lineRule="auto"/>
    </w:pPr>
    <w:rPr>
      <w:kern w:val="0"/>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F161C"/>
    <w:rPr>
      <w:color w:val="0563C1" w:themeColor="hyperlink"/>
      <w:u w:val="single"/>
    </w:rPr>
  </w:style>
  <w:style w:type="character" w:styleId="UnresolvedMention">
    <w:name w:val="Unresolved Mention"/>
    <w:basedOn w:val="DefaultParagraphFont"/>
    <w:uiPriority w:val="99"/>
    <w:semiHidden/>
    <w:unhideWhenUsed/>
    <w:rsid w:val="00EF161C"/>
    <w:rPr>
      <w:color w:val="605E5C"/>
      <w:shd w:val="clear" w:color="auto" w:fill="E1DFDD"/>
    </w:rPr>
  </w:style>
  <w:style w:type="paragraph" w:customStyle="1" w:styleId="ATIABody">
    <w:name w:val="ATIA Body"/>
    <w:basedOn w:val="Normal"/>
    <w:qFormat/>
    <w:rsid w:val="008D7491"/>
    <w:pPr>
      <w:suppressAutoHyphens/>
      <w:autoSpaceDE w:val="0"/>
      <w:autoSpaceDN w:val="0"/>
      <w:adjustRightInd w:val="0"/>
      <w:textAlignment w:val="center"/>
    </w:pPr>
    <w:rPr>
      <w:rFonts w:cs="Roboto"/>
      <w:color w:val="000000"/>
      <w:sz w:val="19"/>
      <w:szCs w:val="19"/>
    </w:rPr>
  </w:style>
  <w:style w:type="character" w:styleId="Strong">
    <w:name w:val="Strong"/>
    <w:basedOn w:val="DefaultParagraphFont"/>
    <w:uiPriority w:val="22"/>
    <w:qFormat/>
    <w:rsid w:val="001662BF"/>
    <w:rPr>
      <w:b/>
      <w:bCs/>
    </w:rPr>
  </w:style>
  <w:style w:type="paragraph" w:styleId="Revision">
    <w:name w:val="Revision"/>
    <w:hidden/>
    <w:uiPriority w:val="99"/>
    <w:semiHidden/>
    <w:rsid w:val="000A1940"/>
    <w:pPr>
      <w:spacing w:after="0" w:line="240" w:lineRule="auto"/>
    </w:pPr>
    <w:rPr>
      <w:rFonts w:ascii="Roboto" w:hAnsi="Roboto" w:cstheme="majorHAnsi"/>
      <w:kern w:val="0"/>
      <w:sz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oter1.xml.rels><?xml version="1.0" encoding="utf-8" standalone="yes"?><Relationships xmlns="http://schemas.openxmlformats.org/package/2006/relationships"><Relationship Id="rId1" Type="http://schemas.openxmlformats.org/officeDocument/2006/relationships/hyperlink" Target="mailto:ingrid.fraser@atia.travel"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e04918f5-3f8b-42d4-900a-bd4c0568dadc" xsi:nil="true"/>
    <lcf76f155ced4ddcb4097134ff3c332f xmlns="9656f6a5-9e51-4863-8423-1cb732cf223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B4F864CC3D15748B24E26CCF1970D49" ma:contentTypeVersion="13" ma:contentTypeDescription="Create a new document." ma:contentTypeScope="" ma:versionID="033ac9d4a0f049efc0c36efa44de771f">
  <xsd:schema xmlns:xsd="http://www.w3.org/2001/XMLSchema" xmlns:xs="http://www.w3.org/2001/XMLSchema" xmlns:p="http://schemas.microsoft.com/office/2006/metadata/properties" xmlns:ns2="9656f6a5-9e51-4863-8423-1cb732cf223c" xmlns:ns3="e04918f5-3f8b-42d4-900a-bd4c0568dadc" targetNamespace="http://schemas.microsoft.com/office/2006/metadata/properties" ma:root="true" ma:fieldsID="d383ba4288e90d30d3935339a85cf665" ns2:_="" ns3:_="">
    <xsd:import namespace="9656f6a5-9e51-4863-8423-1cb732cf223c"/>
    <xsd:import namespace="e04918f5-3f8b-42d4-900a-bd4c0568da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56f6a5-9e51-4863-8423-1cb732cf2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941ca87-a433-4785-9154-c879d88b3ed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4918f5-3f8b-42d4-900a-bd4c0568dad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8f14b8a2-03bc-4080-8e4d-ad71350a87b5}" ma:internalName="TaxCatchAll" ma:showField="CatchAllData" ma:web="e04918f5-3f8b-42d4-900a-bd4c0568dad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AA9693D-B4DC-4BC2-BBA3-5DB3E56C6179}">
  <ds:schemaRefs>
    <ds:schemaRef ds:uri="http://schemas.microsoft.com/sharepoint/v3/contenttype/forms"/>
  </ds:schemaRefs>
</ds:datastoreItem>
</file>

<file path=customXml/itemProps2.xml><?xml version="1.0" encoding="utf-8"?>
<ds:datastoreItem xmlns:ds="http://schemas.openxmlformats.org/officeDocument/2006/customXml" ds:itemID="{3DF49CE1-F303-4762-8AD3-1B47160F0D41}">
  <ds:schemaRefs>
    <ds:schemaRef ds:uri="http://schemas.openxmlformats.org/officeDocument/2006/bibliography"/>
  </ds:schemaRefs>
</ds:datastoreItem>
</file>

<file path=customXml/itemProps3.xml><?xml version="1.0" encoding="utf-8"?>
<ds:datastoreItem xmlns:ds="http://schemas.openxmlformats.org/officeDocument/2006/customXml" ds:itemID="{09544ED6-8A37-46B1-9CB8-BC995B7F683A}">
  <ds:schemaRefs>
    <ds:schemaRef ds:uri="http://schemas.microsoft.com/office/2006/metadata/properties"/>
    <ds:schemaRef ds:uri="http://schemas.microsoft.com/office/infopath/2007/PartnerControls"/>
    <ds:schemaRef ds:uri="bda6e8fc-f234-417b-a3fc-4b48019db00a"/>
    <ds:schemaRef ds:uri="72f18400-8b51-44ab-a2b9-0000fc603419"/>
  </ds:schemaRefs>
</ds:datastoreItem>
</file>

<file path=customXml/itemProps4.xml><?xml version="1.0" encoding="utf-8"?>
<ds:datastoreItem xmlns:ds="http://schemas.openxmlformats.org/officeDocument/2006/customXml" ds:itemID="{C6056B4F-7920-43AE-BA51-9395CDF2357D}"/>
</file>

<file path=docProps/app.xml><?xml version="1.0" encoding="utf-8"?>
<Properties xmlns="http://schemas.openxmlformats.org/officeDocument/2006/extended-properties" xmlns:vt="http://schemas.openxmlformats.org/officeDocument/2006/docPropsVTypes">
  <Template>Normal</Template>
  <TotalTime>1</TotalTime>
  <Pages>150</Pages>
  <Words>47336</Words>
  <Characters>269816</Characters>
  <Application>Microsoft Office Word</Application>
  <DocSecurity>0</DocSecurity>
  <Lines>2248</Lines>
  <Paragraphs>633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Ingrid Fraser</dc:creator>
  <cp:lastModifiedBy>Jeremy Murdoch</cp:lastModifiedBy>
  <cp:revision>1</cp:revision>
  <dcterms:created xsi:type="dcterms:W3CDTF">2025-03-31T03:49:00Z</dcterms:created>
  <dcterms:modified xsi:type="dcterms:W3CDTF">2025-03-31T03:50:00Z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0x0101001B4F864CC3D15748B24E26CCF1970D49</vt:lpwstr>
  </property>
  <property fmtid="{D5CDD505-2E9C-101B-9397-08002B2CF9AE}" pid="3" name="MediaServiceImageTags">
    <vt:lpwstr/>
  </property>
</Properties>
</file>